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839" w:rsidRPr="009E4BDA" w:rsidRDefault="00853839" w:rsidP="009E4BDA">
      <w:pPr>
        <w:spacing w:line="276" w:lineRule="auto"/>
        <w:jc w:val="center"/>
        <w:rPr>
          <w:rFonts w:ascii="Arial" w:hAnsi="Arial" w:cs="Arial"/>
          <w:b/>
          <w:sz w:val="32"/>
          <w:u w:val="single"/>
        </w:rPr>
      </w:pPr>
      <w:r w:rsidRPr="009E4BDA">
        <w:rPr>
          <w:rFonts w:ascii="Arial" w:hAnsi="Arial" w:cs="Arial"/>
          <w:b/>
          <w:sz w:val="32"/>
          <w:u w:val="single"/>
        </w:rPr>
        <w:t>Inducción electromagnética</w:t>
      </w:r>
    </w:p>
    <w:p w:rsidR="007B0491" w:rsidRPr="009E4BDA" w:rsidRDefault="007B0491" w:rsidP="007C509D">
      <w:pPr>
        <w:spacing w:line="276" w:lineRule="auto"/>
        <w:jc w:val="both"/>
        <w:rPr>
          <w:rFonts w:ascii="Arial" w:hAnsi="Arial" w:cs="Arial"/>
          <w:sz w:val="28"/>
          <w:szCs w:val="24"/>
        </w:rPr>
      </w:pPr>
      <w:r w:rsidRPr="009E4BDA">
        <w:rPr>
          <w:rFonts w:ascii="Arial" w:hAnsi="Arial" w:cs="Arial"/>
          <w:sz w:val="28"/>
          <w:szCs w:val="24"/>
        </w:rPr>
        <w:t>Marco Teórico:</w:t>
      </w:r>
      <w:bookmarkStart w:id="0" w:name="_GoBack"/>
      <w:bookmarkEnd w:id="0"/>
    </w:p>
    <w:p w:rsidR="007B0491" w:rsidRPr="007C509D" w:rsidRDefault="007B0491" w:rsidP="007C509D">
      <w:pPr>
        <w:pStyle w:val="Ttulo1"/>
        <w:spacing w:before="0" w:line="276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7C509D">
        <w:rPr>
          <w:rStyle w:val="color15"/>
          <w:rFonts w:ascii="Arial" w:hAnsi="Arial" w:cs="Arial"/>
          <w:color w:val="000000"/>
          <w:sz w:val="24"/>
          <w:szCs w:val="24"/>
          <w:bdr w:val="none" w:sz="0" w:space="0" w:color="auto" w:frame="1"/>
        </w:rPr>
        <w:t>Experimentos de inducción</w:t>
      </w:r>
    </w:p>
    <w:p w:rsidR="007B0491" w:rsidRPr="007C509D" w:rsidRDefault="007B0491" w:rsidP="007C509D">
      <w:pPr>
        <w:pStyle w:val="font8"/>
        <w:spacing w:before="0" w:beforeAutospacing="0" w:after="0" w:afterAutospacing="0" w:line="276" w:lineRule="auto"/>
        <w:textAlignment w:val="baseline"/>
        <w:rPr>
          <w:rStyle w:val="color15"/>
          <w:rFonts w:ascii="Arial" w:eastAsiaTheme="majorEastAsia" w:hAnsi="Arial" w:cs="Arial"/>
          <w:color w:val="000000"/>
          <w:bdr w:val="none" w:sz="0" w:space="0" w:color="auto" w:frame="1"/>
        </w:rPr>
      </w:pPr>
      <w:r w:rsidRPr="007C509D">
        <w:rPr>
          <w:rStyle w:val="color15"/>
          <w:rFonts w:ascii="Arial" w:eastAsiaTheme="majorEastAsia" w:hAnsi="Arial" w:cs="Arial"/>
          <w:color w:val="000000"/>
          <w:bdr w:val="none" w:sz="0" w:space="0" w:color="auto" w:frame="1"/>
        </w:rPr>
        <w:t xml:space="preserve">Durante la década de 1830 Michael Faraday en Inglaterra y Joseph Henry (1797- 1878), quien fuera director de la Smithsonian Institution en Estados Unidos, realizaron varios </w:t>
      </w:r>
      <w:r w:rsidR="007C509D">
        <w:rPr>
          <w:rStyle w:val="color15"/>
          <w:rFonts w:ascii="Arial" w:eastAsiaTheme="majorEastAsia" w:hAnsi="Arial" w:cs="Arial"/>
          <w:color w:val="000000"/>
          <w:bdr w:val="none" w:sz="0" w:space="0" w:color="auto" w:frame="1"/>
        </w:rPr>
        <w:t>experimentos pioneros con la FEM</w:t>
      </w:r>
      <w:r w:rsidRPr="007C509D">
        <w:rPr>
          <w:rStyle w:val="color15"/>
          <w:rFonts w:ascii="Arial" w:eastAsiaTheme="majorEastAsia" w:hAnsi="Arial" w:cs="Arial"/>
          <w:color w:val="000000"/>
          <w:bdr w:val="none" w:sz="0" w:space="0" w:color="auto" w:frame="1"/>
        </w:rPr>
        <w:t xml:space="preserve"> inducida por medios magnéticos.</w:t>
      </w:r>
    </w:p>
    <w:p w:rsidR="007B0491" w:rsidRDefault="007B0491" w:rsidP="007C509D">
      <w:pPr>
        <w:pStyle w:val="Ttulo2"/>
        <w:spacing w:before="0" w:line="276" w:lineRule="auto"/>
        <w:textAlignment w:val="baseline"/>
        <w:rPr>
          <w:rStyle w:val="Ttulo1Car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</w:pPr>
      <w:r w:rsidRPr="007C509D">
        <w:rPr>
          <w:rFonts w:ascii="Arial" w:hAnsi="Arial" w:cs="Arial"/>
          <w:b w:val="0"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1DDC2DC5" wp14:editId="22D4AB4C">
            <wp:extent cx="5439118" cy="2552131"/>
            <wp:effectExtent l="0" t="0" r="952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80" cy="25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09D" w:rsidRDefault="007C509D" w:rsidP="007C509D">
      <w:pPr>
        <w:spacing w:line="276" w:lineRule="auto"/>
        <w:rPr>
          <w:rStyle w:val="Ttulo1Car"/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</w:pPr>
      <w:r w:rsidRPr="007C509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3BC3616" wp14:editId="7673BBA9">
            <wp:extent cx="5724525" cy="20097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91" w:rsidRPr="007C509D">
        <w:rPr>
          <w:rStyle w:val="Ttulo1Car"/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  <w:t xml:space="preserve"> </w:t>
      </w:r>
    </w:p>
    <w:p w:rsidR="007B0491" w:rsidRPr="007C509D" w:rsidRDefault="007B0491" w:rsidP="007C509D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7C509D">
        <w:rPr>
          <w:rStyle w:val="color15"/>
          <w:rFonts w:ascii="Arial" w:hAnsi="Arial" w:cs="Arial"/>
          <w:color w:val="000000"/>
          <w:sz w:val="24"/>
          <w:szCs w:val="24"/>
          <w:bdr w:val="none" w:sz="0" w:space="0" w:color="auto" w:frame="1"/>
        </w:rPr>
        <w:t>Una bobina de alambre está conectada a un galvanómetro. Cuando el imán cercano está inmóvil, el medidor no indica corriente. Esto no es sorprendente, pues en el circuito no hay fuente de FEM. Pero cuando el imán se mueve y se acerca o se aleja de la bobina, el medidor indica corriente en el circuito, pero sólo mientras el imán se halla en movimiento.</w:t>
      </w:r>
    </w:p>
    <w:p w:rsidR="007B0491" w:rsidRPr="007C509D" w:rsidRDefault="007B0491" w:rsidP="007C509D">
      <w:pPr>
        <w:pStyle w:val="Ttulo2"/>
        <w:spacing w:before="0" w:line="276" w:lineRule="auto"/>
        <w:textAlignment w:val="baseline"/>
        <w:rPr>
          <w:rStyle w:val="color15"/>
          <w:rFonts w:ascii="Arial" w:hAnsi="Arial" w:cs="Arial"/>
          <w:color w:val="000000"/>
          <w:sz w:val="24"/>
          <w:szCs w:val="24"/>
          <w:bdr w:val="none" w:sz="0" w:space="0" w:color="auto" w:frame="1"/>
        </w:rPr>
      </w:pPr>
      <w:r w:rsidRPr="007C509D">
        <w:rPr>
          <w:rStyle w:val="color15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lastRenderedPageBreak/>
        <w:t>Si el imán permanece fijo y es la bobina la que se mueve, otra vez se detecta corriente durante el movimiento. Esto se llama</w:t>
      </w:r>
      <w:r w:rsidR="008F644F">
        <w:rPr>
          <w:rStyle w:val="color15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corriente inducida, y la FEM</w:t>
      </w:r>
      <w:r w:rsidRPr="007C509D">
        <w:rPr>
          <w:rStyle w:val="color15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 xml:space="preserve"> correspondiente que se requiere para generarla recibe el nombre de</w:t>
      </w:r>
      <w:r w:rsidRPr="007C509D">
        <w:rPr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br/>
      </w:r>
      <w:r w:rsidRPr="007C509D">
        <w:rPr>
          <w:rStyle w:val="color15"/>
          <w:rFonts w:ascii="Arial" w:hAnsi="Arial" w:cs="Arial"/>
          <w:b w:val="0"/>
          <w:color w:val="000000"/>
          <w:sz w:val="24"/>
          <w:szCs w:val="24"/>
          <w:bdr w:val="none" w:sz="0" w:space="0" w:color="auto" w:frame="1"/>
        </w:rPr>
        <w:t>FEM inducida</w:t>
      </w:r>
      <w:r w:rsidRPr="007C509D">
        <w:rPr>
          <w:rStyle w:val="color15"/>
          <w:rFonts w:ascii="Arial" w:hAnsi="Arial" w:cs="Arial"/>
          <w:color w:val="000000"/>
          <w:sz w:val="24"/>
          <w:szCs w:val="24"/>
          <w:bdr w:val="none" w:sz="0" w:space="0" w:color="auto" w:frame="1"/>
        </w:rPr>
        <w:t>.</w:t>
      </w:r>
    </w:p>
    <w:p w:rsidR="007B0491" w:rsidRPr="007C509D" w:rsidRDefault="007B0491" w:rsidP="007C509D">
      <w:p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50F34226" wp14:editId="1F3D7A1B">
            <wp:extent cx="1911986" cy="24288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6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91" w:rsidRPr="007C509D" w:rsidRDefault="007B0491" w:rsidP="007C509D">
      <w:pPr>
        <w:pStyle w:val="Ttulo2"/>
        <w:spacing w:before="0" w:line="276" w:lineRule="auto"/>
        <w:textAlignment w:val="baseline"/>
        <w:rPr>
          <w:rFonts w:ascii="Arial" w:hAnsi="Arial" w:cs="Arial"/>
          <w:color w:val="000000"/>
          <w:sz w:val="24"/>
          <w:szCs w:val="24"/>
        </w:rPr>
      </w:pPr>
      <w:r w:rsidRPr="007C509D">
        <w:rPr>
          <w:rStyle w:val="color15"/>
          <w:rFonts w:ascii="Arial" w:hAnsi="Arial" w:cs="Arial"/>
          <w:color w:val="000000"/>
          <w:sz w:val="24"/>
          <w:szCs w:val="24"/>
          <w:bdr w:val="none" w:sz="0" w:space="0" w:color="auto" w:frame="1"/>
        </w:rPr>
        <w:t>Ley de Faraday</w:t>
      </w:r>
    </w:p>
    <w:p w:rsidR="007B0491" w:rsidRPr="007C509D" w:rsidRDefault="007B0491" w:rsidP="007C509D">
      <w:pPr>
        <w:pStyle w:val="font8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</w:rPr>
      </w:pPr>
      <w:r w:rsidRPr="007C509D">
        <w:rPr>
          <w:rStyle w:val="color15"/>
          <w:rFonts w:ascii="Arial" w:eastAsiaTheme="majorEastAsia" w:hAnsi="Arial" w:cs="Arial"/>
          <w:color w:val="000000"/>
          <w:bdr w:val="none" w:sz="0" w:space="0" w:color="auto" w:frame="1"/>
        </w:rPr>
        <w:t>El elemento común en todos los efectos de inducción es el flujo magnético cambiante a través de un circuito.</w:t>
      </w:r>
    </w:p>
    <w:p w:rsidR="007B0491" w:rsidRPr="007C509D" w:rsidRDefault="007B0491" w:rsidP="007C509D">
      <w:pPr>
        <w:pStyle w:val="font8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/>
        </w:rPr>
      </w:pPr>
      <w:r w:rsidRPr="007C509D">
        <w:rPr>
          <w:rStyle w:val="wixguard"/>
          <w:rFonts w:ascii="Arial" w:hAnsi="Arial" w:cs="Arial"/>
          <w:color w:val="000000"/>
          <w:bdr w:val="none" w:sz="0" w:space="0" w:color="auto" w:frame="1"/>
        </w:rPr>
        <w:t>​</w:t>
      </w:r>
      <w:r w:rsidRPr="007C509D">
        <w:rPr>
          <w:rStyle w:val="color15"/>
          <w:rFonts w:ascii="Arial" w:eastAsiaTheme="majorEastAsia" w:hAnsi="Arial" w:cs="Arial"/>
          <w:color w:val="000000"/>
          <w:bdr w:val="none" w:sz="0" w:space="0" w:color="auto" w:frame="1"/>
        </w:rPr>
        <w:t>La ley de Faraday de la inducción establece lo siguiente: La FEM inducida en una espira cerrada es igual al negativo de la tasa de cambio del flujo magnético a través de la espira con respecto al tiempo.</w:t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noProof/>
          <w:sz w:val="24"/>
          <w:szCs w:val="24"/>
          <w:lang w:val="es-ES" w:eastAsia="es-ES"/>
        </w:rPr>
      </w:pPr>
      <w:r w:rsidRPr="007C509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4823088" wp14:editId="618C9943">
            <wp:extent cx="1900474" cy="2114550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74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09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9E08098" wp14:editId="64B23E94">
            <wp:extent cx="3067050" cy="908378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90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t xml:space="preserve"> </w:t>
      </w: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5179B2B" wp14:editId="15A88D93">
            <wp:extent cx="895350" cy="619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509D">
        <w:rPr>
          <w:rFonts w:ascii="Arial" w:hAnsi="Arial" w:cs="Arial"/>
          <w:bCs/>
          <w:color w:val="000000" w:themeColor="text1"/>
          <w:sz w:val="24"/>
          <w:szCs w:val="24"/>
        </w:rPr>
        <w:t xml:space="preserve">La </w:t>
      </w:r>
      <w:r w:rsidRPr="007C509D">
        <w:rPr>
          <w:rFonts w:ascii="Arial" w:hAnsi="Arial" w:cs="Arial"/>
          <w:b/>
          <w:bCs/>
          <w:color w:val="000000" w:themeColor="text1"/>
          <w:sz w:val="24"/>
          <w:szCs w:val="24"/>
        </w:rPr>
        <w:t>ley de Lenz</w:t>
      </w:r>
      <w:r w:rsidRPr="007C509D">
        <w:rPr>
          <w:rFonts w:ascii="Arial" w:hAnsi="Arial" w:cs="Arial"/>
          <w:color w:val="000000" w:themeColor="text1"/>
          <w:sz w:val="24"/>
          <w:szCs w:val="24"/>
        </w:rPr>
        <w:t> es una consecuencia del </w:t>
      </w:r>
      <w:hyperlink r:id="rId12" w:tgtFrame="_blank" w:history="1">
        <w:r w:rsidRPr="007C509D">
          <w:rPr>
            <w:rStyle w:val="Hipervnculo"/>
            <w:rFonts w:ascii="Arial" w:hAnsi="Arial" w:cs="Arial"/>
            <w:color w:val="000000" w:themeColor="text1"/>
            <w:sz w:val="24"/>
            <w:szCs w:val="24"/>
            <w:u w:val="none"/>
          </w:rPr>
          <w:t>principio de conservación de la energía</w:t>
        </w:r>
      </w:hyperlink>
      <w:r w:rsidRPr="007C509D">
        <w:rPr>
          <w:rFonts w:ascii="Arial" w:hAnsi="Arial" w:cs="Arial"/>
          <w:color w:val="000000" w:themeColor="text1"/>
          <w:sz w:val="24"/>
          <w:szCs w:val="24"/>
        </w:rPr>
        <w:t> aplicado a la inducción electromagnética. Fue formulada por </w:t>
      </w:r>
      <w:hyperlink r:id="rId13" w:tgtFrame="_blank" w:history="1">
        <w:r w:rsidRPr="007C509D">
          <w:rPr>
            <w:rStyle w:val="Hipervnculo"/>
            <w:rFonts w:ascii="Arial" w:hAnsi="Arial" w:cs="Arial"/>
            <w:color w:val="000000" w:themeColor="text1"/>
            <w:sz w:val="24"/>
            <w:szCs w:val="24"/>
            <w:u w:val="none"/>
          </w:rPr>
          <w:t>Heinrich Lenz</w:t>
        </w:r>
      </w:hyperlink>
      <w:r w:rsidRPr="007C509D">
        <w:rPr>
          <w:rFonts w:ascii="Arial" w:hAnsi="Arial" w:cs="Arial"/>
          <w:color w:val="000000" w:themeColor="text1"/>
          <w:sz w:val="24"/>
          <w:szCs w:val="24"/>
        </w:rPr>
        <w:t xml:space="preserve"> en 1833. Mientras que la </w:t>
      </w:r>
      <w:r w:rsidRPr="007C509D">
        <w:rPr>
          <w:rFonts w:ascii="Arial" w:hAnsi="Arial" w:cs="Arial"/>
          <w:b/>
          <w:color w:val="000000" w:themeColor="text1"/>
          <w:sz w:val="24"/>
          <w:szCs w:val="24"/>
        </w:rPr>
        <w:t>ley de Faraday</w:t>
      </w:r>
      <w:r w:rsidRPr="007C509D">
        <w:rPr>
          <w:rFonts w:ascii="Arial" w:hAnsi="Arial" w:cs="Arial"/>
          <w:color w:val="000000" w:themeColor="text1"/>
          <w:sz w:val="24"/>
          <w:szCs w:val="24"/>
        </w:rPr>
        <w:t xml:space="preserve"> nos dice la magnitud de la FEM producida, la ley de Lenz nos dice en qué dirección fluye la corriente, y establece que la dirección siempre es tal que </w:t>
      </w:r>
      <w:r w:rsidRPr="007C509D">
        <w:rPr>
          <w:rFonts w:ascii="Arial" w:hAnsi="Arial" w:cs="Arial"/>
          <w:bCs/>
          <w:color w:val="000000" w:themeColor="text1"/>
          <w:sz w:val="24"/>
          <w:szCs w:val="24"/>
        </w:rPr>
        <w:t>se opone al cambio de flujo que la produce</w:t>
      </w:r>
      <w:r w:rsidRPr="007C509D">
        <w:rPr>
          <w:rFonts w:ascii="Arial" w:hAnsi="Arial" w:cs="Arial"/>
          <w:color w:val="000000" w:themeColor="text1"/>
          <w:sz w:val="24"/>
          <w:szCs w:val="24"/>
        </w:rPr>
        <w:t>. Esto significa que cada campo magnético generado por una corriente inducida va en la dirección </w:t>
      </w:r>
      <w:r w:rsidRPr="007C509D">
        <w:rPr>
          <w:rFonts w:ascii="Arial" w:hAnsi="Arial" w:cs="Arial"/>
          <w:bCs/>
          <w:color w:val="000000" w:themeColor="text1"/>
          <w:sz w:val="24"/>
          <w:szCs w:val="24"/>
        </w:rPr>
        <w:t>opuesta</w:t>
      </w:r>
      <w:r w:rsidRPr="007C509D">
        <w:rPr>
          <w:rFonts w:ascii="Arial" w:hAnsi="Arial" w:cs="Arial"/>
          <w:color w:val="000000" w:themeColor="text1"/>
          <w:sz w:val="24"/>
          <w:szCs w:val="24"/>
        </w:rPr>
        <w:t> al cambio en el campo original.</w:t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509D">
        <w:rPr>
          <w:rFonts w:ascii="Arial" w:hAnsi="Arial" w:cs="Arial"/>
          <w:color w:val="000000" w:themeColor="text1"/>
          <w:sz w:val="24"/>
          <w:szCs w:val="24"/>
        </w:rPr>
        <w:lastRenderedPageBreak/>
        <w:t>Típicamente incorporamos la ley de Lenz a la ley de Faraday con un signo menos, que nos permite utilizar el mismo sistema de coordenadas para el flujo y la FEM. Nos referimos al resultado como la ley de Faraday-Lenz:</w:t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509D"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 wp14:anchorId="7E4C08C8" wp14:editId="45F9CC54">
            <wp:extent cx="1466850" cy="10121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>En la práctica, frecuentemente lidiamos con la inducción magnética en espiras múltiples de alambre, donde cada una contribuye con la misma FEM. Por esta razón, incluimos un término adicional N</w:t>
      </w:r>
      <w:r w:rsidRPr="007C509D">
        <w:rPr>
          <w:rFonts w:ascii="Arial" w:hAnsi="Arial" w:cs="Arial"/>
          <w:iCs/>
          <w:sz w:val="24"/>
          <w:szCs w:val="24"/>
        </w:rPr>
        <w:t xml:space="preserve"> </w:t>
      </w:r>
      <w:r w:rsidRPr="007C509D">
        <w:rPr>
          <w:rFonts w:ascii="Arial" w:hAnsi="Arial" w:cs="Arial"/>
          <w:sz w:val="24"/>
          <w:szCs w:val="24"/>
        </w:rPr>
        <w:t>para representar el número de vueltas, </w:t>
      </w:r>
      <w:r w:rsidRPr="007C509D">
        <w:rPr>
          <w:rFonts w:ascii="Arial" w:hAnsi="Arial" w:cs="Arial"/>
          <w:iCs/>
          <w:sz w:val="24"/>
          <w:szCs w:val="24"/>
        </w:rPr>
        <w:t>es decir</w:t>
      </w:r>
      <w:r w:rsidRPr="007C509D">
        <w:rPr>
          <w:rFonts w:ascii="Arial" w:hAnsi="Arial" w:cs="Arial"/>
          <w:sz w:val="24"/>
          <w:szCs w:val="24"/>
        </w:rPr>
        <w:t>:</w:t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B208D1B" wp14:editId="4AD20F70">
            <wp:extent cx="1534886" cy="68580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8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09D">
        <w:rPr>
          <w:rFonts w:ascii="Arial" w:hAnsi="Arial" w:cs="Arial"/>
          <w:b/>
          <w:bCs/>
          <w:sz w:val="24"/>
          <w:szCs w:val="24"/>
        </w:rPr>
        <w:t>El experimento de Faraday: inducción por un imán que pasa a través de una bobina</w:t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>El experimento fundamental que llevó a Michael Faraday a establecer su ley fue bastante sencillo, y podemos replicarlo fácilmente con poco más que materiales caseros. Faraday utilizó un tubo de cartón con alambre aislado enrollado a su alrededor para formar una bobina. Conectó un voltímetro a través de la bobina y registró la FEM inducida conforme pasaba un imán a través de la bobina.</w:t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7A7123A" wp14:editId="5F733367">
            <wp:extent cx="4838700" cy="14001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C509D">
        <w:rPr>
          <w:rFonts w:ascii="Arial" w:hAnsi="Arial" w:cs="Arial"/>
          <w:b/>
          <w:sz w:val="24"/>
          <w:szCs w:val="24"/>
        </w:rPr>
        <w:t>Dispositivo (</w:t>
      </w:r>
      <w:proofErr w:type="spellStart"/>
      <w:r w:rsidRPr="007C509D">
        <w:rPr>
          <w:rFonts w:ascii="Arial" w:hAnsi="Arial" w:cs="Arial"/>
          <w:b/>
          <w:i/>
          <w:sz w:val="24"/>
          <w:szCs w:val="24"/>
        </w:rPr>
        <w:t>GlobiLab</w:t>
      </w:r>
      <w:proofErr w:type="spellEnd"/>
      <w:r w:rsidRPr="007C509D">
        <w:rPr>
          <w:rFonts w:ascii="Arial" w:hAnsi="Arial" w:cs="Arial"/>
          <w:b/>
          <w:sz w:val="24"/>
          <w:szCs w:val="24"/>
        </w:rPr>
        <w:t>)</w:t>
      </w:r>
    </w:p>
    <w:p w:rsidR="007B0491" w:rsidRPr="007C509D" w:rsidRDefault="007B0491" w:rsidP="007C509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 xml:space="preserve">Es un Software de Análisis de Datos Recolectados con los Sensores </w:t>
      </w:r>
      <w:proofErr w:type="spellStart"/>
      <w:r w:rsidRPr="007C509D">
        <w:rPr>
          <w:rFonts w:ascii="Arial" w:hAnsi="Arial" w:cs="Arial"/>
          <w:sz w:val="24"/>
          <w:szCs w:val="24"/>
        </w:rPr>
        <w:t>Labdisc</w:t>
      </w:r>
      <w:proofErr w:type="spellEnd"/>
      <w:r w:rsidRPr="007C509D">
        <w:rPr>
          <w:rFonts w:ascii="Arial" w:hAnsi="Arial" w:cs="Arial"/>
          <w:sz w:val="24"/>
          <w:szCs w:val="24"/>
        </w:rPr>
        <w:t>.</w:t>
      </w:r>
    </w:p>
    <w:p w:rsidR="007C509D" w:rsidRDefault="007B0491" w:rsidP="007C509D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Con el software </w:t>
      </w:r>
      <w:proofErr w:type="spellStart"/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GlobiLab</w:t>
      </w:r>
      <w:proofErr w:type="spellEnd"/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los estudiantes podrán ver en tiempo real los gráficos del experimento que estén realizando con </w:t>
      </w:r>
      <w:proofErr w:type="spellStart"/>
      <w:r w:rsidRPr="007C509D">
        <w:fldChar w:fldCharType="begin"/>
      </w:r>
      <w:r w:rsidRPr="007C509D">
        <w:rPr>
          <w:rFonts w:ascii="Arial" w:hAnsi="Arial" w:cs="Arial"/>
          <w:sz w:val="24"/>
          <w:szCs w:val="24"/>
        </w:rPr>
        <w:instrText xml:space="preserve"> HYPERLINK "https://www.facebook.com/hashtag/labdisc?source=feed_text&amp;epa=HASHTAG&amp;__xts__%5B0%5D=68.ARD_9dFI0_9_JNiA65_JvYFP2JCFQDD6l-C-JZVG8t-LNLzOM0aQwT-AOCAlXhIE6aoK3jMCZBxaLupzRGsKiivQ7Jeib3hRUJNQofDFdaYDM88DH1bhkBJU-uflJFoUjiF3ZiXfrhzfzmNCHEP3L48dlUbCc30Wy_QcWj9uPvHg1Llnff-g2fDOObUmDzLGnuAR8t6SPNWh8mf3dEYBUfn4mtT6G2tOwL6CpRJpdUAyP_0n6QWq-fVUQrFGvzdz4ZvgCF5cVIPk5zr-Lws5XEQzeR-2hB1ognYdxIYF-MV_n8kjxfMq0I01I8SdehkcyRkICH62EgyPpRMl9gOCvxDmpg&amp;__tn__=%2ANK-R" </w:instrText>
      </w:r>
      <w:r w:rsidRPr="007C509D">
        <w:fldChar w:fldCharType="separate"/>
      </w:r>
      <w:r w:rsidRPr="007C509D"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t>Labdisc</w:t>
      </w:r>
      <w:proofErr w:type="spellEnd"/>
      <w:r w:rsidRPr="007C509D">
        <w:rPr>
          <w:rStyle w:val="Hipervnculo"/>
          <w:rFonts w:ascii="Arial" w:hAnsi="Arial" w:cs="Arial"/>
          <w:color w:val="000000" w:themeColor="text1"/>
          <w:sz w:val="24"/>
          <w:szCs w:val="24"/>
          <w:u w:val="none"/>
          <w:bdr w:val="none" w:sz="0" w:space="0" w:color="auto" w:frame="1"/>
          <w:shd w:val="clear" w:color="auto" w:fill="FFFFFF"/>
        </w:rPr>
        <w:fldChar w:fldCharType="end"/>
      </w:r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que se conecta de manera inalámbrica con cualquier Smartphone o Tablet (</w:t>
      </w:r>
      <w:proofErr w:type="spellStart"/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Android</w:t>
      </w:r>
      <w:proofErr w:type="spellEnd"/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 </w:t>
      </w:r>
      <w:proofErr w:type="spellStart"/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iOS</w:t>
      </w:r>
      <w:proofErr w:type="spellEnd"/>
      <w:r w:rsidRPr="007C509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) o por medio de conexión USB a tu computadora.</w:t>
      </w:r>
    </w:p>
    <w:p w:rsidR="007B0491" w:rsidRPr="007C509D" w:rsidRDefault="007C509D" w:rsidP="007C509D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val="es-ES" w:eastAsia="es-ES"/>
        </w:rPr>
        <w:lastRenderedPageBreak/>
        <w:drawing>
          <wp:inline distT="0" distB="0" distL="0" distR="0">
            <wp:extent cx="2756848" cy="2756848"/>
            <wp:effectExtent l="0" t="0" r="5715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07" cy="27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val="es-ES" w:eastAsia="es-ES"/>
        </w:rPr>
        <w:drawing>
          <wp:inline distT="0" distB="0" distL="0" distR="0">
            <wp:extent cx="2171700" cy="210121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491" w:rsidRPr="007C509D">
        <w:rPr>
          <w:rFonts w:ascii="Arial" w:hAnsi="Arial" w:cs="Arial"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 wp14:anchorId="2E5466E9" wp14:editId="76FCCAD7">
            <wp:extent cx="2543175" cy="2371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shd w:val="clear" w:color="auto" w:fill="FFFFFF"/>
          <w:lang w:val="es-ES" w:eastAsia="es-ES"/>
        </w:rPr>
        <w:drawing>
          <wp:inline distT="0" distB="0" distL="0" distR="0">
            <wp:extent cx="2982109" cy="1678675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48" cy="16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491" w:rsidRPr="007C509D" w:rsidRDefault="007B0491" w:rsidP="007C509D">
      <w:pPr>
        <w:spacing w:line="276" w:lineRule="auto"/>
        <w:rPr>
          <w:rFonts w:ascii="Arial" w:hAnsi="Arial" w:cs="Arial"/>
          <w:sz w:val="24"/>
          <w:szCs w:val="24"/>
        </w:rPr>
      </w:pPr>
    </w:p>
    <w:p w:rsidR="007B0491" w:rsidRPr="007C509D" w:rsidRDefault="007B0491" w:rsidP="007C509D">
      <w:pPr>
        <w:spacing w:line="276" w:lineRule="auto"/>
        <w:rPr>
          <w:rFonts w:ascii="Arial" w:hAnsi="Arial" w:cs="Arial"/>
          <w:sz w:val="24"/>
          <w:szCs w:val="24"/>
        </w:rPr>
      </w:pPr>
    </w:p>
    <w:p w:rsidR="007B0491" w:rsidRPr="007C509D" w:rsidRDefault="007B0491" w:rsidP="007C509D">
      <w:pPr>
        <w:spacing w:line="276" w:lineRule="auto"/>
        <w:rPr>
          <w:rFonts w:ascii="Arial" w:hAnsi="Arial" w:cs="Arial"/>
          <w:b/>
          <w:sz w:val="28"/>
          <w:szCs w:val="24"/>
        </w:rPr>
      </w:pPr>
      <w:r w:rsidRPr="007C509D">
        <w:rPr>
          <w:rFonts w:ascii="Arial" w:hAnsi="Arial" w:cs="Arial"/>
          <w:b/>
          <w:sz w:val="28"/>
          <w:szCs w:val="24"/>
        </w:rPr>
        <w:t>Practico:</w:t>
      </w:r>
    </w:p>
    <w:p w:rsidR="00853839" w:rsidRPr="007C509D" w:rsidRDefault="007C509D" w:rsidP="007C509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C509D">
        <w:rPr>
          <w:rFonts w:ascii="Arial" w:hAnsi="Arial" w:cs="Arial"/>
          <w:b/>
          <w:sz w:val="24"/>
          <w:szCs w:val="24"/>
        </w:rPr>
        <w:t>Materiales:</w:t>
      </w:r>
    </w:p>
    <w:p w:rsidR="00853839" w:rsidRPr="007C509D" w:rsidRDefault="00853839" w:rsidP="007C509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>Una bobina con 2.8 cm de lado, con una resistencia de 7.2 Ohm</w:t>
      </w:r>
    </w:p>
    <w:p w:rsidR="00853839" w:rsidRPr="007C509D" w:rsidRDefault="00853839" w:rsidP="007C509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 xml:space="preserve">Imán </w:t>
      </w:r>
    </w:p>
    <w:p w:rsidR="00853839" w:rsidRPr="007C509D" w:rsidRDefault="00853839" w:rsidP="007C509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 xml:space="preserve">Soportes </w:t>
      </w:r>
    </w:p>
    <w:p w:rsidR="00853839" w:rsidRPr="007C509D" w:rsidRDefault="00853839" w:rsidP="007C509D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>GlobiLab</w:t>
      </w:r>
    </w:p>
    <w:p w:rsidR="00853839" w:rsidRDefault="007C509D" w:rsidP="007C509D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7C509D">
        <w:rPr>
          <w:rFonts w:ascii="Arial" w:hAnsi="Arial" w:cs="Arial"/>
          <w:b/>
          <w:sz w:val="24"/>
          <w:szCs w:val="24"/>
        </w:rPr>
        <w:t>Procedimiento:</w:t>
      </w:r>
    </w:p>
    <w:p w:rsidR="007C509D" w:rsidRDefault="007C509D" w:rsidP="007C509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Conectamos la bobina al </w:t>
      </w:r>
      <w:proofErr w:type="spellStart"/>
      <w:r>
        <w:rPr>
          <w:rFonts w:ascii="Arial" w:hAnsi="Arial" w:cs="Arial"/>
          <w:sz w:val="24"/>
          <w:szCs w:val="24"/>
        </w:rPr>
        <w:t>Globilab</w:t>
      </w:r>
      <w:proofErr w:type="spellEnd"/>
      <w:r>
        <w:rPr>
          <w:rFonts w:ascii="Arial" w:hAnsi="Arial" w:cs="Arial"/>
          <w:sz w:val="24"/>
          <w:szCs w:val="24"/>
        </w:rPr>
        <w:t>, este a la computadora por bluthoot y  hacemos pasar el imán primero el polo norte por ella, con el soporte informático analizamos los datos.</w:t>
      </w:r>
    </w:p>
    <w:p w:rsidR="007C509D" w:rsidRPr="007C509D" w:rsidRDefault="007C509D" w:rsidP="007C509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Repetimos el procedimiento haciendo pasar primero el polo Sur del imán y volvemos a analizar.</w:t>
      </w:r>
    </w:p>
    <w:p w:rsidR="00DF2FAE" w:rsidRPr="007C509D" w:rsidRDefault="0020381D" w:rsidP="007C509D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="00DF2FAE" w:rsidRPr="007C509D">
        <w:rPr>
          <w:rFonts w:ascii="Arial" w:hAnsi="Arial" w:cs="Arial"/>
          <w:b/>
          <w:sz w:val="24"/>
          <w:szCs w:val="24"/>
        </w:rPr>
        <w:t>bservaciones:</w:t>
      </w:r>
    </w:p>
    <w:p w:rsidR="00DF2FAE" w:rsidRPr="007C509D" w:rsidRDefault="00DF2FAE" w:rsidP="007C509D">
      <w:pPr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iCs/>
          <w:sz w:val="24"/>
          <w:szCs w:val="24"/>
        </w:rPr>
        <w:lastRenderedPageBreak/>
        <w:t>El imán en reposo dentro o cerca de la bobina:</w:t>
      </w:r>
      <w:r w:rsidRPr="007C509D">
        <w:rPr>
          <w:rFonts w:ascii="Arial" w:hAnsi="Arial" w:cs="Arial"/>
          <w:sz w:val="24"/>
          <w:szCs w:val="24"/>
        </w:rPr>
        <w:t> no se observó voltaje.</w:t>
      </w:r>
    </w:p>
    <w:p w:rsidR="00DF2FAE" w:rsidRPr="007C509D" w:rsidRDefault="00DF2FAE" w:rsidP="007C509D">
      <w:pPr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iCs/>
          <w:sz w:val="24"/>
          <w:szCs w:val="24"/>
        </w:rPr>
        <w:t>El imán entrando en la bobina:</w:t>
      </w:r>
      <w:r w:rsidRPr="007C509D">
        <w:rPr>
          <w:rFonts w:ascii="Arial" w:hAnsi="Arial" w:cs="Arial"/>
          <w:sz w:val="24"/>
          <w:szCs w:val="24"/>
        </w:rPr>
        <w:t> se registró algo de voltaje, que alcanzó su magnitud más alta cuando el imán se estaba acercando al centro de la bobina.</w:t>
      </w:r>
    </w:p>
    <w:p w:rsidR="00DF2FAE" w:rsidRPr="007C509D" w:rsidRDefault="00DF2FAE" w:rsidP="007C509D">
      <w:pPr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iCs/>
          <w:sz w:val="24"/>
          <w:szCs w:val="24"/>
        </w:rPr>
        <w:t>El imán pasando por el centro de la bobina:</w:t>
      </w:r>
      <w:r w:rsidRPr="007C509D">
        <w:rPr>
          <w:rFonts w:ascii="Arial" w:hAnsi="Arial" w:cs="Arial"/>
          <w:sz w:val="24"/>
          <w:szCs w:val="24"/>
        </w:rPr>
        <w:t> se registró un cambio súbito de signo en el voltaje.</w:t>
      </w:r>
    </w:p>
    <w:p w:rsidR="00DF2FAE" w:rsidRPr="007C509D" w:rsidRDefault="00DF2FAE" w:rsidP="007C509D">
      <w:pPr>
        <w:numPr>
          <w:ilvl w:val="0"/>
          <w:numId w:val="4"/>
        </w:num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iCs/>
          <w:sz w:val="24"/>
          <w:szCs w:val="24"/>
        </w:rPr>
        <w:t>El imán saliendo de la bobina:</w:t>
      </w:r>
      <w:r w:rsidRPr="007C509D">
        <w:rPr>
          <w:rFonts w:ascii="Arial" w:hAnsi="Arial" w:cs="Arial"/>
          <w:sz w:val="24"/>
          <w:szCs w:val="24"/>
        </w:rPr>
        <w:t> se registró un voltaje opuesto en la dirección inversa a la del imán moviéndose hacia la bobina.</w:t>
      </w:r>
    </w:p>
    <w:p w:rsidR="00E1452A" w:rsidRDefault="00E1452A" w:rsidP="00E1452A">
      <w:pPr>
        <w:spacing w:line="276" w:lineRule="auto"/>
        <w:rPr>
          <w:rFonts w:ascii="Arial" w:hAnsi="Arial" w:cs="Arial"/>
          <w:sz w:val="24"/>
          <w:szCs w:val="24"/>
        </w:rPr>
      </w:pPr>
    </w:p>
    <w:p w:rsidR="00E1452A" w:rsidRPr="00E1452A" w:rsidRDefault="00E1452A" w:rsidP="00E1452A">
      <w:pPr>
        <w:spacing w:line="276" w:lineRule="auto"/>
        <w:rPr>
          <w:rFonts w:ascii="Arial" w:hAnsi="Arial" w:cs="Arial"/>
          <w:sz w:val="24"/>
          <w:szCs w:val="24"/>
        </w:rPr>
      </w:pPr>
      <w:r w:rsidRPr="00E1452A">
        <w:rPr>
          <w:rFonts w:ascii="Arial" w:hAnsi="Arial" w:cs="Arial"/>
          <w:sz w:val="24"/>
          <w:szCs w:val="24"/>
        </w:rPr>
        <w:t>Luego de la obtención de datos se los llevaron a Excel para graficar y luego a Graph para una mayor precisión gráfica:</w:t>
      </w:r>
    </w:p>
    <w:p w:rsidR="00E1452A" w:rsidRPr="007C509D" w:rsidRDefault="00E1452A" w:rsidP="00E1452A">
      <w:pPr>
        <w:tabs>
          <w:tab w:val="left" w:pos="1560"/>
        </w:tabs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>Luego del análisis de las gráficas utilizamos un simulador para comprobar si la teoría coincide con el experimento:</w:t>
      </w:r>
    </w:p>
    <w:p w:rsidR="00E1452A" w:rsidRDefault="00E1452A" w:rsidP="007C509D">
      <w:pPr>
        <w:spacing w:line="276" w:lineRule="auto"/>
        <w:rPr>
          <w:rFonts w:ascii="Arial" w:hAnsi="Arial" w:cs="Arial"/>
          <w:sz w:val="24"/>
          <w:szCs w:val="24"/>
        </w:rPr>
      </w:pPr>
    </w:p>
    <w:p w:rsidR="00C21DE7" w:rsidRPr="00E1452A" w:rsidRDefault="00E1452A" w:rsidP="007C509D">
      <w:pPr>
        <w:spacing w:line="276" w:lineRule="auto"/>
        <w:rPr>
          <w:rFonts w:ascii="Arial" w:hAnsi="Arial" w:cs="Arial"/>
          <w:i/>
          <w:sz w:val="24"/>
          <w:szCs w:val="24"/>
          <w:u w:val="single"/>
        </w:rPr>
      </w:pPr>
      <w:r w:rsidRPr="00E1452A">
        <w:rPr>
          <w:rFonts w:ascii="Arial" w:hAnsi="Arial" w:cs="Arial"/>
          <w:i/>
          <w:sz w:val="24"/>
          <w:szCs w:val="24"/>
          <w:u w:val="single"/>
        </w:rPr>
        <w:t>Análisis de datos del sensor y en Excel:</w:t>
      </w:r>
    </w:p>
    <w:p w:rsidR="00E1452A" w:rsidRDefault="00E1452A" w:rsidP="007C509D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6F2099A" wp14:editId="4E673C60">
            <wp:extent cx="5732780" cy="3059430"/>
            <wp:effectExtent l="0" t="0" r="127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1D" w:rsidRDefault="0020381D" w:rsidP="007C509D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69840A23" wp14:editId="0985C3B3">
            <wp:extent cx="5723890" cy="3077210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2A" w:rsidRDefault="00E1452A" w:rsidP="007C509D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6BB15B7A" wp14:editId="0E0F5308">
            <wp:extent cx="5732145" cy="3084195"/>
            <wp:effectExtent l="0" t="0" r="1905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1D" w:rsidRDefault="0020381D" w:rsidP="007C509D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7CF1092F" wp14:editId="45FA4184">
            <wp:extent cx="5718175" cy="305689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2A" w:rsidRPr="00E1452A" w:rsidRDefault="00E1452A" w:rsidP="007C509D">
      <w:pPr>
        <w:spacing w:line="276" w:lineRule="auto"/>
        <w:rPr>
          <w:rFonts w:ascii="Arial" w:hAnsi="Arial" w:cs="Arial"/>
          <w:i/>
          <w:sz w:val="24"/>
          <w:szCs w:val="24"/>
          <w:u w:val="single"/>
        </w:rPr>
      </w:pPr>
      <w:r w:rsidRPr="00E1452A">
        <w:rPr>
          <w:rFonts w:ascii="Arial" w:hAnsi="Arial" w:cs="Arial"/>
          <w:i/>
          <w:sz w:val="24"/>
          <w:szCs w:val="24"/>
          <w:u w:val="single"/>
        </w:rPr>
        <w:t>Análisis en Graph:</w:t>
      </w:r>
    </w:p>
    <w:p w:rsidR="00E1452A" w:rsidRPr="007C509D" w:rsidRDefault="00E1452A" w:rsidP="007C509D">
      <w:pPr>
        <w:spacing w:line="276" w:lineRule="auto"/>
        <w:rPr>
          <w:rFonts w:ascii="Arial" w:hAnsi="Arial" w:cs="Arial"/>
          <w:sz w:val="24"/>
          <w:szCs w:val="24"/>
        </w:rPr>
      </w:pPr>
    </w:p>
    <w:p w:rsidR="00C21DE7" w:rsidRPr="007C509D" w:rsidRDefault="00C21DE7" w:rsidP="007C509D">
      <w:p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57A5F" wp14:editId="46E467AD">
                <wp:simplePos x="0" y="0"/>
                <wp:positionH relativeFrom="column">
                  <wp:posOffset>9525</wp:posOffset>
                </wp:positionH>
                <wp:positionV relativeFrom="paragraph">
                  <wp:posOffset>207010</wp:posOffset>
                </wp:positionV>
                <wp:extent cx="5667375" cy="352425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3524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9FB78E9" id="Rectángulo 12" o:spid="_x0000_s1026" style="position:absolute;margin-left:.75pt;margin-top:16.3pt;width:446.25pt;height:27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" filled="f" strokecolor="black [3213]" strokeweight="1pt"/>
            </w:pict>
          </mc:Fallback>
        </mc:AlternateContent>
      </w: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6A3788" wp14:editId="5CE13485">
                <wp:simplePos x="0" y="0"/>
                <wp:positionH relativeFrom="column">
                  <wp:posOffset>4352925</wp:posOffset>
                </wp:positionH>
                <wp:positionV relativeFrom="paragraph">
                  <wp:posOffset>3178810</wp:posOffset>
                </wp:positionV>
                <wp:extent cx="1304925" cy="314325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1DE7" w:rsidRPr="00C21DE7" w:rsidRDefault="00C21DE7">
                            <w:pPr>
                              <w:rPr>
                                <w:rFonts w:ascii="Palatino Linotype" w:hAnsi="Palatino Linotype"/>
                                <w:sz w:val="24"/>
                              </w:rPr>
                            </w:pPr>
                            <w:r w:rsidRPr="00C21DE7">
                              <w:rPr>
                                <w:rFonts w:ascii="Palatino Linotype" w:hAnsi="Palatino Linotype"/>
                                <w:sz w:val="24"/>
                              </w:rPr>
                              <w:t xml:space="preserve">Gráfica en Excel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42.75pt;margin-top:250.3pt;width:102.7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" filled="f" stroked="f" strokeweight=".5pt">
                <v:textbox>
                  <w:txbxContent>
                    <w:p w:rsidR="00C21DE7" w:rsidRPr="00C21DE7" w:rsidRDefault="00C21DE7">
                      <w:pPr>
                        <w:rPr>
                          <w:rFonts w:ascii="Palatino Linotype" w:hAnsi="Palatino Linotype"/>
                          <w:sz w:val="24"/>
                        </w:rPr>
                      </w:pPr>
                      <w:r w:rsidRPr="00C21DE7">
                        <w:rPr>
                          <w:rFonts w:ascii="Palatino Linotype" w:hAnsi="Palatino Linotype"/>
                          <w:sz w:val="24"/>
                        </w:rPr>
                        <w:t xml:space="preserve">Gráfica en Excel </w:t>
                      </w:r>
                    </w:p>
                  </w:txbxContent>
                </v:textbox>
              </v:shape>
            </w:pict>
          </mc:Fallback>
        </mc:AlternateContent>
      </w: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46A8C388" wp14:editId="536223DA">
            <wp:extent cx="5731510" cy="3140710"/>
            <wp:effectExtent l="0" t="0" r="254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n sur hacia abajo grafica excel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E7" w:rsidRPr="007C509D" w:rsidRDefault="00C21DE7" w:rsidP="007C509D">
      <w:p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77064E2A" wp14:editId="47F197A5">
            <wp:extent cx="5695950" cy="32296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a en graph (3)(la mejor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E7" w:rsidRPr="007C509D" w:rsidRDefault="00C21DE7" w:rsidP="007C509D">
      <w:pPr>
        <w:spacing w:line="276" w:lineRule="auto"/>
        <w:rPr>
          <w:rFonts w:ascii="Arial" w:hAnsi="Arial" w:cs="Arial"/>
          <w:sz w:val="24"/>
          <w:szCs w:val="24"/>
        </w:rPr>
      </w:pPr>
    </w:p>
    <w:p w:rsidR="00C21DE7" w:rsidRPr="007C509D" w:rsidRDefault="00C21DE7" w:rsidP="007C509D">
      <w:pPr>
        <w:tabs>
          <w:tab w:val="left" w:pos="1560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7B0491" w:rsidRPr="00E1452A" w:rsidRDefault="00E1452A" w:rsidP="007C509D">
      <w:pPr>
        <w:tabs>
          <w:tab w:val="left" w:pos="1560"/>
        </w:tabs>
        <w:spacing w:line="276" w:lineRule="auto"/>
        <w:rPr>
          <w:rFonts w:ascii="Arial" w:hAnsi="Arial" w:cs="Arial"/>
          <w:i/>
          <w:sz w:val="24"/>
          <w:szCs w:val="24"/>
          <w:u w:val="single"/>
        </w:rPr>
      </w:pPr>
      <w:r w:rsidRPr="00E1452A">
        <w:rPr>
          <w:rFonts w:ascii="Arial" w:hAnsi="Arial" w:cs="Arial"/>
          <w:i/>
          <w:sz w:val="24"/>
          <w:szCs w:val="24"/>
          <w:u w:val="single"/>
        </w:rPr>
        <w:t>Análisis en simulador:</w:t>
      </w:r>
    </w:p>
    <w:p w:rsidR="00C21DE7" w:rsidRPr="007C509D" w:rsidRDefault="00C21DE7" w:rsidP="007C509D">
      <w:pPr>
        <w:tabs>
          <w:tab w:val="left" w:pos="1560"/>
        </w:tabs>
        <w:spacing w:line="276" w:lineRule="auto"/>
        <w:rPr>
          <w:rFonts w:ascii="Arial" w:hAnsi="Arial" w:cs="Arial"/>
          <w:sz w:val="24"/>
          <w:szCs w:val="24"/>
        </w:rPr>
      </w:pPr>
    </w:p>
    <w:p w:rsidR="00C21DE7" w:rsidRPr="007C509D" w:rsidRDefault="00C21DE7" w:rsidP="007C509D">
      <w:pPr>
        <w:tabs>
          <w:tab w:val="left" w:pos="1560"/>
        </w:tabs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03E8857" wp14:editId="2A0164B2">
            <wp:extent cx="3952875" cy="22764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mulador utilizado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DE7" w:rsidRPr="007C509D" w:rsidRDefault="007B0491" w:rsidP="007C509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7C509D">
        <w:rPr>
          <w:rFonts w:ascii="Arial" w:hAnsi="Arial" w:cs="Arial"/>
          <w:b/>
          <w:sz w:val="24"/>
          <w:szCs w:val="24"/>
        </w:rPr>
        <w:t>Conclusión:</w:t>
      </w:r>
    </w:p>
    <w:p w:rsidR="00C21DE7" w:rsidRPr="007C509D" w:rsidRDefault="007B0491" w:rsidP="007C509D">
      <w:p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>E</w:t>
      </w:r>
      <w:r w:rsidR="00F7679D" w:rsidRPr="007C509D">
        <w:rPr>
          <w:rFonts w:ascii="Arial" w:hAnsi="Arial" w:cs="Arial"/>
          <w:sz w:val="24"/>
          <w:szCs w:val="24"/>
        </w:rPr>
        <w:t xml:space="preserve">l fenómeno </w:t>
      </w:r>
      <w:r w:rsidRPr="007C509D">
        <w:rPr>
          <w:rFonts w:ascii="Arial" w:hAnsi="Arial" w:cs="Arial"/>
          <w:sz w:val="24"/>
          <w:szCs w:val="24"/>
        </w:rPr>
        <w:t xml:space="preserve">de inducción magnética </w:t>
      </w:r>
      <w:r w:rsidR="00F7679D" w:rsidRPr="007C509D">
        <w:rPr>
          <w:rFonts w:ascii="Arial" w:hAnsi="Arial" w:cs="Arial"/>
          <w:sz w:val="24"/>
          <w:szCs w:val="24"/>
        </w:rPr>
        <w:t>presenta un modelo sinusoidal.</w:t>
      </w:r>
    </w:p>
    <w:p w:rsidR="00F7679D" w:rsidRPr="007C509D" w:rsidRDefault="00F7679D" w:rsidP="007C509D">
      <w:pPr>
        <w:spacing w:line="276" w:lineRule="auto"/>
        <w:rPr>
          <w:rFonts w:ascii="Arial" w:hAnsi="Arial" w:cs="Arial"/>
          <w:sz w:val="24"/>
          <w:szCs w:val="24"/>
        </w:rPr>
      </w:pPr>
      <w:r w:rsidRPr="007C509D">
        <w:rPr>
          <w:rFonts w:ascii="Arial" w:hAnsi="Arial" w:cs="Arial"/>
          <w:sz w:val="24"/>
          <w:szCs w:val="24"/>
        </w:rPr>
        <w:t>Mediante el uso del simulador (PhET) vemos que al acercar el SUR del imán hacia la bobina obtenemos un voltaje positivo y con el NORTE un voltaje negativo.</w:t>
      </w:r>
    </w:p>
    <w:p w:rsidR="00C21DE7" w:rsidRPr="007C509D" w:rsidRDefault="00C21DE7" w:rsidP="007C509D">
      <w:pPr>
        <w:spacing w:line="276" w:lineRule="auto"/>
        <w:rPr>
          <w:rFonts w:ascii="Arial" w:hAnsi="Arial" w:cs="Arial"/>
          <w:sz w:val="24"/>
          <w:szCs w:val="24"/>
        </w:rPr>
      </w:pPr>
    </w:p>
    <w:p w:rsidR="00720E15" w:rsidRPr="00C21DE7" w:rsidRDefault="00720E15" w:rsidP="007C509D">
      <w:pPr>
        <w:spacing w:line="276" w:lineRule="auto"/>
        <w:rPr>
          <w:rFonts w:ascii="Palatino Linotype" w:hAnsi="Palatino Linotype"/>
          <w:sz w:val="24"/>
        </w:rPr>
      </w:pPr>
    </w:p>
    <w:sectPr w:rsidR="00720E15" w:rsidRPr="00C21DE7" w:rsidSect="004F5E5C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669EC"/>
    <w:multiLevelType w:val="hybridMultilevel"/>
    <w:tmpl w:val="34703692"/>
    <w:lvl w:ilvl="0" w:tplc="32D809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F415A"/>
    <w:multiLevelType w:val="hybridMultilevel"/>
    <w:tmpl w:val="4126C674"/>
    <w:lvl w:ilvl="0" w:tplc="A2E0FC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52B21"/>
    <w:multiLevelType w:val="multilevel"/>
    <w:tmpl w:val="8D1CE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807899"/>
    <w:multiLevelType w:val="multilevel"/>
    <w:tmpl w:val="8E34C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839"/>
    <w:rsid w:val="0009474B"/>
    <w:rsid w:val="0012721D"/>
    <w:rsid w:val="0020381D"/>
    <w:rsid w:val="004A19D2"/>
    <w:rsid w:val="004F5E5C"/>
    <w:rsid w:val="0058048A"/>
    <w:rsid w:val="00720E15"/>
    <w:rsid w:val="00761CA9"/>
    <w:rsid w:val="007678CF"/>
    <w:rsid w:val="007B0491"/>
    <w:rsid w:val="007C509D"/>
    <w:rsid w:val="007E05A3"/>
    <w:rsid w:val="00807396"/>
    <w:rsid w:val="00853839"/>
    <w:rsid w:val="008F644F"/>
    <w:rsid w:val="009E4BDA"/>
    <w:rsid w:val="00A86D8D"/>
    <w:rsid w:val="00B666B1"/>
    <w:rsid w:val="00C21DE7"/>
    <w:rsid w:val="00C74251"/>
    <w:rsid w:val="00D97E94"/>
    <w:rsid w:val="00DF2FAE"/>
    <w:rsid w:val="00DF3520"/>
    <w:rsid w:val="00E1452A"/>
    <w:rsid w:val="00EA546A"/>
    <w:rsid w:val="00F7679D"/>
    <w:rsid w:val="00FB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38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04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383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538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B666B1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F352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491"/>
    <w:rPr>
      <w:rFonts w:ascii="Tahoma" w:hAnsi="Tahoma" w:cs="Tahoma"/>
      <w:sz w:val="16"/>
      <w:szCs w:val="16"/>
    </w:rPr>
  </w:style>
  <w:style w:type="character" w:customStyle="1" w:styleId="color15">
    <w:name w:val="color_15"/>
    <w:basedOn w:val="Fuentedeprrafopredeter"/>
    <w:rsid w:val="007B0491"/>
  </w:style>
  <w:style w:type="paragraph" w:customStyle="1" w:styleId="font8">
    <w:name w:val="font_8"/>
    <w:basedOn w:val="Normal"/>
    <w:rsid w:val="007B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049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wixguard">
    <w:name w:val="wixguard"/>
    <w:basedOn w:val="Fuentedeprrafopredeter"/>
    <w:rsid w:val="007B04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538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B04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383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538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B666B1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F352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491"/>
    <w:rPr>
      <w:rFonts w:ascii="Tahoma" w:hAnsi="Tahoma" w:cs="Tahoma"/>
      <w:sz w:val="16"/>
      <w:szCs w:val="16"/>
    </w:rPr>
  </w:style>
  <w:style w:type="character" w:customStyle="1" w:styleId="color15">
    <w:name w:val="color_15"/>
    <w:basedOn w:val="Fuentedeprrafopredeter"/>
    <w:rsid w:val="007B0491"/>
  </w:style>
  <w:style w:type="paragraph" w:customStyle="1" w:styleId="font8">
    <w:name w:val="font_8"/>
    <w:basedOn w:val="Normal"/>
    <w:rsid w:val="007B0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B049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wixguard">
    <w:name w:val="wixguard"/>
    <w:basedOn w:val="Fuentedeprrafopredeter"/>
    <w:rsid w:val="007B0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6226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5969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0990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8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392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957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0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74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335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n.wikipedia.org/wiki/Heinrich_Lenz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es.khanacademy.org/science/physics/magnetic-forces-and-magnetic-fields/magnetic-flux-faradays-law/a/science/physics/work-and-energy/work-and-energy-tutorial/a/what-is-conservation-of-energy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808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De los Santos</dc:creator>
  <cp:lastModifiedBy>bra</cp:lastModifiedBy>
  <cp:revision>2</cp:revision>
  <dcterms:created xsi:type="dcterms:W3CDTF">2020-10-28T21:22:00Z</dcterms:created>
  <dcterms:modified xsi:type="dcterms:W3CDTF">2020-10-28T21:22:00Z</dcterms:modified>
</cp:coreProperties>
</file>